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hint="eastAsia" w:ascii="仿宋_GB2312" w:eastAsia="仿宋_GB2312"/>
          <w:sz w:val="28"/>
          <w:szCs w:val="28"/>
        </w:rPr>
      </w:pPr>
      <w:bookmarkStart w:id="0" w:name="_GoBack"/>
      <w:r>
        <w:rPr>
          <w:rFonts w:hint="eastAsia" w:ascii="仿宋_GB2312" w:hAnsi="宋体" w:eastAsia="仿宋_GB2312" w:cs="仿宋_GB2312-WinCharSetFFFF-H"/>
          <w:kern w:val="0"/>
          <w:sz w:val="28"/>
          <w:szCs w:val="28"/>
        </w:rPr>
        <w:t>附件3</w:t>
      </w:r>
      <w:r>
        <w:rPr>
          <w:rFonts w:hint="eastAsia" w:ascii="仿宋_GB2312" w:hAnsi="宋体" w:eastAsia="仿宋_GB2312" w:cs="仿宋_GB2312-WinCharSetFFFF-H"/>
          <w:kern w:val="0"/>
          <w:sz w:val="28"/>
          <w:szCs w:val="28"/>
          <w:lang w:val="en-US" w:eastAsia="zh-CN"/>
        </w:rPr>
        <w:t>.</w:t>
      </w:r>
      <w:r>
        <w:rPr>
          <w:rFonts w:hint="eastAsia" w:ascii="仿宋_GB2312" w:eastAsia="仿宋_GB2312"/>
          <w:sz w:val="28"/>
          <w:szCs w:val="28"/>
        </w:rPr>
        <w:t>华为云WeLink登录操作指引</w:t>
      </w:r>
    </w:p>
    <w:bookmarkEnd w:id="0"/>
    <w:p>
      <w:pPr>
        <w:autoSpaceDE w:val="0"/>
        <w:autoSpaceDN w:val="0"/>
        <w:adjustRightInd w:val="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</w:p>
    <w:p>
      <w:pPr>
        <w:spacing w:line="360" w:lineRule="auto"/>
        <w:jc w:val="center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华为云WeLink登录操作指引</w:t>
      </w:r>
    </w:p>
    <w:p>
      <w:pPr>
        <w:numPr>
          <w:ilvl w:val="0"/>
          <w:numId w:val="1"/>
        </w:num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注册</w:t>
      </w:r>
    </w:p>
    <w:p>
      <w:pPr>
        <w:numPr>
          <w:ilvl w:val="0"/>
          <w:numId w:val="2"/>
        </w:num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未注册用户：收到Welink系统发送的短信或邮件通知后，按链接地址下载Welink 客户端（电脑端支持 Windows7 及以上操作系统、手机端支持 Android 及iOS 系统）</w:t>
      </w:r>
    </w:p>
    <w:p>
      <w:pPr>
        <w:numPr>
          <w:ilvl w:val="0"/>
          <w:numId w:val="2"/>
        </w:num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已注册用户：收到 Welink 系统发送的短信或邮件通知后，打开 Welink。</w:t>
      </w:r>
    </w:p>
    <w:p>
      <w:pPr>
        <w:numPr>
          <w:ilvl w:val="0"/>
          <w:numId w:val="1"/>
        </w:num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登录</w:t>
      </w:r>
    </w:p>
    <w:p>
      <w:pPr>
        <w:numPr>
          <w:ilvl w:val="0"/>
          <w:numId w:val="3"/>
        </w:num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首次登陆，请按以下步骤操作：</w:t>
      </w:r>
    </w:p>
    <w:p>
      <w:p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①输入您的手机号，点击获取短信验证码并输入；</w:t>
      </w:r>
    </w:p>
    <w:p>
      <w:p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②选择您的企业“广东软件行业协会”；</w:t>
      </w:r>
    </w:p>
    <w:p>
      <w:p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③设置您的登录密码，即可登录 WeLink。</w:t>
      </w:r>
    </w:p>
    <w:p>
      <w:p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drawing>
          <wp:inline distT="0" distB="0" distL="114300" distR="114300">
            <wp:extent cx="5269865" cy="1991360"/>
            <wp:effectExtent l="0" t="0" r="698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9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如果用户此前已加入其他企业组织，登录后点击左上角个人头像，选择“设置”&gt;“切换企业”&gt;“广东软件行业协会”</w:t>
      </w:r>
    </w:p>
    <w:p>
      <w:pPr>
        <w:spacing w:line="360" w:lineRule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drawing>
          <wp:inline distT="0" distB="0" distL="114300" distR="114300">
            <wp:extent cx="5272405" cy="2704465"/>
            <wp:effectExtent l="0" t="0" r="444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仿宋_GB2312" w:hAnsi="宋体" w:eastAsia="仿宋_GB2312" w:cs="仿宋_GB2312-WinCharSetFFFF-H"/>
          <w:kern w:val="0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安装、登录中有问题，可咨询华为接口人：徐国强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-WinCharSetFFFF-H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BB62F9"/>
    <w:multiLevelType w:val="singleLevel"/>
    <w:tmpl w:val="A9BB62F9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BE34090"/>
    <w:multiLevelType w:val="singleLevel"/>
    <w:tmpl w:val="FBE34090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5D760318"/>
    <w:multiLevelType w:val="singleLevel"/>
    <w:tmpl w:val="5D7603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4026B"/>
    <w:rsid w:val="1D34026B"/>
    <w:rsid w:val="2DFA7DFC"/>
    <w:rsid w:val="6CF3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2020-02-24T12:34:00Z</dcterms:created>
  <dc:creator>Even</dc:creator>
  <cp:lastModifiedBy>Even</cp:lastModifiedBy>
  <dcterms:modified xsi:type="dcterms:W3CDTF">2020-02-24T12:37:05Z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